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6B0CC" w14:textId="77777777" w:rsidR="00BC604A" w:rsidRDefault="00BC604A" w:rsidP="00BC604A">
      <w:pPr>
        <w:spacing w:after="0" w:line="276" w:lineRule="auto"/>
        <w:jc w:val="center"/>
        <w:rPr>
          <w:rFonts w:ascii="Verdana" w:eastAsia="Verdana" w:hAnsi="Verdana" w:cs="Verdana"/>
          <w:b/>
          <w:sz w:val="24"/>
        </w:rPr>
      </w:pPr>
      <w:r>
        <w:rPr>
          <w:rFonts w:ascii="Verdana" w:eastAsia="Verdana" w:hAnsi="Verdana" w:cs="Verdana"/>
          <w:b/>
          <w:sz w:val="24"/>
        </w:rPr>
        <w:t>Les</w:t>
      </w:r>
      <w:r w:rsidRPr="00F04200">
        <w:rPr>
          <w:rFonts w:ascii="Verdana" w:eastAsia="Verdana" w:hAnsi="Verdana" w:cs="Verdana"/>
          <w:b/>
          <w:sz w:val="24"/>
        </w:rPr>
        <w:t xml:space="preserve"> différents postes repris dans le décompte des charges/vos provisions </w:t>
      </w:r>
    </w:p>
    <w:p w14:paraId="4C396949" w14:textId="77777777" w:rsidR="00BC604A" w:rsidRPr="00F04200" w:rsidRDefault="00BC604A" w:rsidP="00BC604A">
      <w:pPr>
        <w:spacing w:after="0" w:line="276" w:lineRule="auto"/>
        <w:jc w:val="center"/>
        <w:rPr>
          <w:rFonts w:ascii="Verdana" w:eastAsia="Verdana" w:hAnsi="Verdana" w:cs="Verdana"/>
          <w:b/>
          <w:sz w:val="24"/>
        </w:rPr>
      </w:pPr>
    </w:p>
    <w:tbl>
      <w:tblPr>
        <w:tblStyle w:val="Grilledutableau"/>
        <w:tblW w:w="15410" w:type="dxa"/>
        <w:tblLook w:val="04A0" w:firstRow="1" w:lastRow="0" w:firstColumn="1" w:lastColumn="0" w:noHBand="0" w:noVBand="1"/>
      </w:tblPr>
      <w:tblGrid>
        <w:gridCol w:w="3431"/>
        <w:gridCol w:w="6166"/>
        <w:gridCol w:w="5813"/>
      </w:tblGrid>
      <w:tr w:rsidR="00BC604A" w:rsidRPr="004D34A7" w14:paraId="35CF0E78" w14:textId="77777777" w:rsidTr="004D34A7">
        <w:tc>
          <w:tcPr>
            <w:tcW w:w="3431" w:type="dxa"/>
            <w:vAlign w:val="center"/>
          </w:tcPr>
          <w:p w14:paraId="5188F3EE" w14:textId="77777777" w:rsidR="00BC604A" w:rsidRPr="004D34A7" w:rsidRDefault="00BC604A" w:rsidP="00AD50D3">
            <w:pPr>
              <w:jc w:val="center"/>
              <w:rPr>
                <w:rFonts w:ascii="Verdana" w:hAnsi="Verdana"/>
                <w:b/>
                <w:caps/>
                <w:sz w:val="24"/>
                <w:szCs w:val="20"/>
              </w:rPr>
            </w:pPr>
            <w:r w:rsidRPr="004D34A7">
              <w:rPr>
                <w:rFonts w:ascii="Verdana" w:hAnsi="Verdana"/>
                <w:b/>
                <w:caps/>
                <w:sz w:val="24"/>
                <w:szCs w:val="20"/>
              </w:rPr>
              <w:t>PROVISIONS</w:t>
            </w:r>
          </w:p>
          <w:p w14:paraId="0E02C635" w14:textId="77777777" w:rsidR="00BC604A" w:rsidRPr="004D34A7" w:rsidRDefault="00BC604A" w:rsidP="00AD50D3">
            <w:pPr>
              <w:jc w:val="center"/>
              <w:rPr>
                <w:rFonts w:ascii="Verdana" w:hAnsi="Verdana"/>
                <w:b/>
                <w:caps/>
                <w:sz w:val="24"/>
                <w:szCs w:val="20"/>
              </w:rPr>
            </w:pPr>
          </w:p>
        </w:tc>
        <w:tc>
          <w:tcPr>
            <w:tcW w:w="6166" w:type="dxa"/>
            <w:shd w:val="clear" w:color="auto" w:fill="C5E0B3" w:themeFill="accent6" w:themeFillTint="66"/>
            <w:vAlign w:val="center"/>
          </w:tcPr>
          <w:p w14:paraId="1B7AA371" w14:textId="77777777" w:rsidR="00BC604A" w:rsidRPr="004D34A7" w:rsidRDefault="00BC604A" w:rsidP="00BC604A">
            <w:pPr>
              <w:jc w:val="center"/>
              <w:rPr>
                <w:rFonts w:ascii="Verdana" w:hAnsi="Verdana"/>
                <w:b/>
                <w:caps/>
                <w:sz w:val="24"/>
                <w:szCs w:val="20"/>
              </w:rPr>
            </w:pPr>
            <w:r w:rsidRPr="004D34A7">
              <w:rPr>
                <w:rFonts w:ascii="Verdana" w:hAnsi="Verdana"/>
                <w:b/>
                <w:caps/>
                <w:sz w:val="24"/>
                <w:szCs w:val="20"/>
              </w:rPr>
              <w:t>MAISONS</w:t>
            </w:r>
          </w:p>
          <w:p w14:paraId="4ADCE4C4" w14:textId="77777777" w:rsidR="00BC604A" w:rsidRPr="004D34A7" w:rsidRDefault="00BC604A" w:rsidP="00AD50D3">
            <w:pPr>
              <w:jc w:val="center"/>
              <w:rPr>
                <w:rFonts w:ascii="Verdana" w:hAnsi="Verdana"/>
                <w:b/>
                <w:caps/>
                <w:sz w:val="24"/>
                <w:szCs w:val="20"/>
              </w:rPr>
            </w:pPr>
          </w:p>
        </w:tc>
        <w:tc>
          <w:tcPr>
            <w:tcW w:w="5813" w:type="dxa"/>
            <w:shd w:val="clear" w:color="auto" w:fill="FFD966" w:themeFill="accent4" w:themeFillTint="99"/>
          </w:tcPr>
          <w:p w14:paraId="17410E52" w14:textId="77777777" w:rsidR="00BC604A" w:rsidRPr="004D34A7" w:rsidRDefault="00BC604A" w:rsidP="00AD50D3">
            <w:pPr>
              <w:jc w:val="center"/>
              <w:rPr>
                <w:rFonts w:ascii="Verdana" w:hAnsi="Verdana"/>
                <w:b/>
                <w:caps/>
                <w:sz w:val="24"/>
                <w:szCs w:val="20"/>
              </w:rPr>
            </w:pPr>
            <w:r w:rsidRPr="004D34A7">
              <w:rPr>
                <w:rFonts w:ascii="Verdana" w:hAnsi="Verdana"/>
                <w:b/>
                <w:caps/>
                <w:sz w:val="24"/>
                <w:szCs w:val="20"/>
              </w:rPr>
              <w:t>APPARTEMENTS</w:t>
            </w:r>
          </w:p>
        </w:tc>
      </w:tr>
      <w:tr w:rsidR="00BC604A" w14:paraId="02DE00F3" w14:textId="77777777" w:rsidTr="00995CA3">
        <w:tc>
          <w:tcPr>
            <w:tcW w:w="3431" w:type="dxa"/>
          </w:tcPr>
          <w:p w14:paraId="636AF1A6" w14:textId="77777777" w:rsidR="00BC604A" w:rsidRDefault="00BC604A" w:rsidP="00AD50D3">
            <w:pPr>
              <w:spacing w:before="240"/>
              <w:jc w:val="center"/>
              <w:rPr>
                <w:rFonts w:ascii="Verdana" w:hAnsi="Verdana"/>
                <w:sz w:val="18"/>
                <w:szCs w:val="20"/>
              </w:rPr>
            </w:pPr>
            <w:r>
              <w:rPr>
                <w:rFonts w:ascii="Verdana" w:hAnsi="Verdana"/>
                <w:sz w:val="18"/>
                <w:szCs w:val="20"/>
              </w:rPr>
              <w:t>ESPACES VERTS</w:t>
            </w:r>
          </w:p>
          <w:p w14:paraId="18C56844" w14:textId="77777777" w:rsidR="00BC604A" w:rsidRPr="007101AF" w:rsidRDefault="00BC604A" w:rsidP="00AD50D3">
            <w:pPr>
              <w:spacing w:before="240"/>
              <w:jc w:val="center"/>
              <w:rPr>
                <w:rFonts w:ascii="Verdana" w:hAnsi="Verdana"/>
                <w:sz w:val="18"/>
                <w:szCs w:val="20"/>
              </w:rPr>
            </w:pPr>
            <w:r>
              <w:rPr>
                <w:rFonts w:ascii="Verdana" w:hAnsi="Verdana"/>
                <w:noProof/>
                <w:sz w:val="18"/>
                <w:szCs w:val="20"/>
              </w:rPr>
              <w:drawing>
                <wp:inline distT="0" distB="0" distL="0" distR="0" wp14:anchorId="578929AB" wp14:editId="44106BEC">
                  <wp:extent cx="971550" cy="528241"/>
                  <wp:effectExtent l="0" t="0" r="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rden-gb8e14823d_128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9750" cy="538136"/>
                          </a:xfrm>
                          <a:prstGeom prst="rect">
                            <a:avLst/>
                          </a:prstGeom>
                        </pic:spPr>
                      </pic:pic>
                    </a:graphicData>
                  </a:graphic>
                </wp:inline>
              </w:drawing>
            </w:r>
          </w:p>
        </w:tc>
        <w:tc>
          <w:tcPr>
            <w:tcW w:w="11979" w:type="dxa"/>
            <w:gridSpan w:val="2"/>
          </w:tcPr>
          <w:p w14:paraId="683DAEF3" w14:textId="79F34085" w:rsidR="00BC604A" w:rsidRDefault="00BC604A" w:rsidP="00A11F30">
            <w:pPr>
              <w:pStyle w:val="Paragraphedeliste"/>
              <w:numPr>
                <w:ilvl w:val="0"/>
                <w:numId w:val="2"/>
              </w:numPr>
              <w:rPr>
                <w:rFonts w:ascii="Verdana" w:hAnsi="Verdana"/>
                <w:sz w:val="20"/>
                <w:szCs w:val="20"/>
              </w:rPr>
            </w:pPr>
            <w:r w:rsidRPr="00A11F30">
              <w:rPr>
                <w:rFonts w:ascii="Verdana" w:hAnsi="Verdana"/>
                <w:sz w:val="20"/>
                <w:szCs w:val="20"/>
              </w:rPr>
              <w:t>Coût annuel de la sous-traitance et de la régie interne pour l</w:t>
            </w:r>
            <w:r w:rsidR="00A11F30">
              <w:rPr>
                <w:rFonts w:ascii="Verdana" w:hAnsi="Verdana"/>
                <w:sz w:val="20"/>
                <w:szCs w:val="20"/>
              </w:rPr>
              <w:t>’entretien d</w:t>
            </w:r>
            <w:r w:rsidRPr="00A11F30">
              <w:rPr>
                <w:rFonts w:ascii="Verdana" w:hAnsi="Verdana"/>
                <w:sz w:val="20"/>
                <w:szCs w:val="20"/>
              </w:rPr>
              <w:t xml:space="preserve">es Espaces Verts </w:t>
            </w:r>
            <w:r w:rsidR="00A11F30">
              <w:rPr>
                <w:rFonts w:ascii="Verdana" w:hAnsi="Verdana"/>
                <w:sz w:val="20"/>
                <w:szCs w:val="20"/>
              </w:rPr>
              <w:t>de votre</w:t>
            </w:r>
            <w:r w:rsidRPr="00A11F30">
              <w:rPr>
                <w:rFonts w:ascii="Verdana" w:hAnsi="Verdana"/>
                <w:sz w:val="20"/>
                <w:szCs w:val="20"/>
              </w:rPr>
              <w:t xml:space="preserve"> quartier (hormis </w:t>
            </w:r>
            <w:r w:rsidR="00B51758">
              <w:rPr>
                <w:rFonts w:ascii="Verdana" w:hAnsi="Verdana"/>
                <w:sz w:val="20"/>
                <w:szCs w:val="20"/>
              </w:rPr>
              <w:t xml:space="preserve">les </w:t>
            </w:r>
            <w:r w:rsidRPr="00A11F30">
              <w:rPr>
                <w:rFonts w:ascii="Verdana" w:hAnsi="Verdana"/>
                <w:sz w:val="20"/>
                <w:szCs w:val="20"/>
              </w:rPr>
              <w:t>parcelles directement liées aux logements) : l’entretien et le nettoyage des pelouses, haies, arbres</w:t>
            </w:r>
            <w:r w:rsidR="00B51758">
              <w:rPr>
                <w:rFonts w:ascii="Verdana" w:hAnsi="Verdana"/>
                <w:sz w:val="20"/>
                <w:szCs w:val="20"/>
              </w:rPr>
              <w:t xml:space="preserve">, </w:t>
            </w:r>
            <w:r w:rsidR="00F6190D" w:rsidRPr="00A11F30">
              <w:rPr>
                <w:rFonts w:ascii="Verdana" w:hAnsi="Verdana"/>
                <w:sz w:val="20"/>
                <w:szCs w:val="20"/>
              </w:rPr>
              <w:t>buissons</w:t>
            </w:r>
            <w:r w:rsidR="00F6190D">
              <w:rPr>
                <w:rFonts w:ascii="Verdana" w:hAnsi="Verdana"/>
                <w:sz w:val="20"/>
                <w:szCs w:val="20"/>
              </w:rPr>
              <w:t xml:space="preserve">, etc. </w:t>
            </w:r>
            <w:r w:rsidRPr="00A11F30">
              <w:rPr>
                <w:rFonts w:ascii="Verdana" w:hAnsi="Verdana"/>
                <w:sz w:val="20"/>
                <w:szCs w:val="20"/>
              </w:rPr>
              <w:t>sur les terrains communs.</w:t>
            </w:r>
            <w:bookmarkStart w:id="0" w:name="_GoBack"/>
            <w:bookmarkEnd w:id="0"/>
          </w:p>
          <w:p w14:paraId="543078D4" w14:textId="77777777" w:rsidR="00B51758" w:rsidRDefault="00B51758" w:rsidP="00B51758">
            <w:pPr>
              <w:pStyle w:val="Paragraphedeliste"/>
              <w:rPr>
                <w:rFonts w:ascii="Verdana" w:hAnsi="Verdana"/>
                <w:sz w:val="20"/>
                <w:szCs w:val="20"/>
              </w:rPr>
            </w:pPr>
          </w:p>
          <w:p w14:paraId="216D8D9A" w14:textId="77777777" w:rsidR="00A11F30" w:rsidRPr="00A11F30" w:rsidRDefault="00A11F30" w:rsidP="00A11F30">
            <w:pPr>
              <w:pStyle w:val="Paragraphedeliste"/>
              <w:numPr>
                <w:ilvl w:val="0"/>
                <w:numId w:val="2"/>
              </w:numPr>
              <w:rPr>
                <w:rFonts w:ascii="Verdana" w:hAnsi="Verdana"/>
                <w:sz w:val="20"/>
                <w:szCs w:val="20"/>
              </w:rPr>
            </w:pPr>
            <w:r>
              <w:rPr>
                <w:rFonts w:ascii="Verdana" w:hAnsi="Verdana"/>
                <w:sz w:val="20"/>
                <w:szCs w:val="20"/>
              </w:rPr>
              <w:t>Ramassage des dépôts clandestins</w:t>
            </w:r>
          </w:p>
        </w:tc>
      </w:tr>
      <w:tr w:rsidR="00BC604A" w14:paraId="34E0E555" w14:textId="77777777" w:rsidTr="00BC604A">
        <w:tc>
          <w:tcPr>
            <w:tcW w:w="3431" w:type="dxa"/>
          </w:tcPr>
          <w:p w14:paraId="19D72001" w14:textId="77777777" w:rsidR="00BC604A" w:rsidRPr="007E1D21" w:rsidRDefault="00BC604A" w:rsidP="00AD50D3">
            <w:pPr>
              <w:pStyle w:val="Sansinterligne"/>
              <w:jc w:val="center"/>
              <w:rPr>
                <w:rFonts w:ascii="Verdana" w:hAnsi="Verdana"/>
                <w:sz w:val="18"/>
              </w:rPr>
            </w:pPr>
          </w:p>
          <w:p w14:paraId="6CF382E8" w14:textId="77777777" w:rsidR="00BC604A" w:rsidRDefault="00BC604A" w:rsidP="00AD50D3">
            <w:pPr>
              <w:pStyle w:val="Sansinterligne"/>
              <w:jc w:val="center"/>
              <w:rPr>
                <w:rFonts w:ascii="Verdana" w:hAnsi="Verdana"/>
                <w:sz w:val="18"/>
              </w:rPr>
            </w:pPr>
            <w:r w:rsidRPr="007E1D21">
              <w:rPr>
                <w:rFonts w:ascii="Verdana" w:hAnsi="Verdana"/>
                <w:sz w:val="18"/>
              </w:rPr>
              <w:t xml:space="preserve">PROTECTION INCENDIE </w:t>
            </w:r>
          </w:p>
          <w:p w14:paraId="54F1E622" w14:textId="77777777" w:rsidR="00BC604A" w:rsidRDefault="00BC604A" w:rsidP="00AD50D3">
            <w:pPr>
              <w:pStyle w:val="Sansinterligne"/>
              <w:jc w:val="center"/>
              <w:rPr>
                <w:rFonts w:ascii="Verdana" w:hAnsi="Verdana"/>
                <w:caps/>
                <w:sz w:val="18"/>
              </w:rPr>
            </w:pPr>
            <w:r>
              <w:rPr>
                <w:rFonts w:ascii="Verdana" w:hAnsi="Verdana"/>
                <w:caps/>
                <w:noProof/>
                <w:sz w:val="18"/>
                <w:lang w:val="fr-BE" w:eastAsia="fr-BE"/>
              </w:rPr>
              <w:drawing>
                <wp:inline distT="0" distB="0" distL="0" distR="0" wp14:anchorId="45091EAA" wp14:editId="09EA491C">
                  <wp:extent cx="333375" cy="474694"/>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e-g5d6f0cf3e_128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368" cy="484651"/>
                          </a:xfrm>
                          <a:prstGeom prst="rect">
                            <a:avLst/>
                          </a:prstGeom>
                        </pic:spPr>
                      </pic:pic>
                    </a:graphicData>
                  </a:graphic>
                </wp:inline>
              </w:drawing>
            </w:r>
          </w:p>
          <w:p w14:paraId="5F1676E6" w14:textId="77777777" w:rsidR="00BC604A" w:rsidRPr="007E1D21" w:rsidRDefault="00BC604A" w:rsidP="00AD50D3">
            <w:pPr>
              <w:pStyle w:val="Sansinterligne"/>
              <w:jc w:val="center"/>
              <w:rPr>
                <w:rFonts w:ascii="Verdana" w:hAnsi="Verdana"/>
                <w:sz w:val="18"/>
              </w:rPr>
            </w:pPr>
          </w:p>
        </w:tc>
        <w:tc>
          <w:tcPr>
            <w:tcW w:w="6166" w:type="dxa"/>
          </w:tcPr>
          <w:p w14:paraId="7BDC3981" w14:textId="77777777" w:rsidR="00BC604A" w:rsidRDefault="00BC604A" w:rsidP="00AD50D3">
            <w:pPr>
              <w:rPr>
                <w:rFonts w:ascii="Verdana" w:hAnsi="Verdana"/>
                <w:sz w:val="20"/>
                <w:szCs w:val="20"/>
              </w:rPr>
            </w:pPr>
          </w:p>
          <w:p w14:paraId="4A9715E7" w14:textId="629846AA" w:rsidR="00BC604A" w:rsidRDefault="00B51758" w:rsidP="00AD50D3">
            <w:pPr>
              <w:rPr>
                <w:rFonts w:ascii="Verdana" w:hAnsi="Verdana"/>
                <w:sz w:val="20"/>
                <w:szCs w:val="20"/>
              </w:rPr>
            </w:pPr>
            <w:r>
              <w:rPr>
                <w:rFonts w:ascii="Verdana" w:hAnsi="Verdana"/>
                <w:sz w:val="20"/>
                <w:szCs w:val="20"/>
              </w:rPr>
              <w:t xml:space="preserve"> </w:t>
            </w:r>
            <w:r w:rsidR="00BC604A">
              <w:rPr>
                <w:rFonts w:ascii="Verdana" w:hAnsi="Verdana"/>
                <w:sz w:val="20"/>
                <w:szCs w:val="20"/>
              </w:rPr>
              <w:t>Assurance incendie / abandon de recours</w:t>
            </w:r>
          </w:p>
          <w:p w14:paraId="21302B7E" w14:textId="77777777" w:rsidR="00BC604A" w:rsidRPr="007E1D21" w:rsidRDefault="00BC604A" w:rsidP="00AD50D3">
            <w:pPr>
              <w:rPr>
                <w:rFonts w:ascii="Verdana" w:hAnsi="Verdana"/>
                <w:sz w:val="20"/>
                <w:szCs w:val="20"/>
              </w:rPr>
            </w:pPr>
          </w:p>
        </w:tc>
        <w:tc>
          <w:tcPr>
            <w:tcW w:w="5813" w:type="dxa"/>
          </w:tcPr>
          <w:p w14:paraId="50013BD1" w14:textId="77777777" w:rsidR="00414420" w:rsidRPr="00A11F30" w:rsidRDefault="00414420" w:rsidP="00A11F30">
            <w:pPr>
              <w:pStyle w:val="Paragraphedeliste"/>
              <w:numPr>
                <w:ilvl w:val="0"/>
                <w:numId w:val="3"/>
              </w:numPr>
              <w:rPr>
                <w:rFonts w:ascii="Verdana" w:hAnsi="Verdana"/>
                <w:sz w:val="20"/>
                <w:szCs w:val="20"/>
              </w:rPr>
            </w:pPr>
            <w:r w:rsidRPr="00A11F30">
              <w:rPr>
                <w:rFonts w:ascii="Verdana" w:hAnsi="Verdana"/>
                <w:sz w:val="20"/>
                <w:szCs w:val="20"/>
              </w:rPr>
              <w:t>Assurance incendie / abandon de recours</w:t>
            </w:r>
          </w:p>
          <w:p w14:paraId="5A609FDC" w14:textId="77777777" w:rsidR="00BC604A" w:rsidRPr="00A11F30" w:rsidRDefault="00BC604A" w:rsidP="00A11F30">
            <w:pPr>
              <w:pStyle w:val="Paragraphedeliste"/>
              <w:numPr>
                <w:ilvl w:val="0"/>
                <w:numId w:val="3"/>
              </w:numPr>
              <w:rPr>
                <w:rFonts w:ascii="Verdana" w:hAnsi="Verdana"/>
                <w:sz w:val="20"/>
                <w:szCs w:val="20"/>
              </w:rPr>
            </w:pPr>
            <w:r w:rsidRPr="00A11F30">
              <w:rPr>
                <w:rFonts w:ascii="Verdana" w:hAnsi="Verdana"/>
                <w:sz w:val="20"/>
                <w:szCs w:val="20"/>
              </w:rPr>
              <w:t>Contrôle et réparations des équipements liés au risque incendie (une fois par an)</w:t>
            </w:r>
          </w:p>
          <w:p w14:paraId="47E19A15" w14:textId="77777777" w:rsidR="00BC604A" w:rsidRPr="00A11F30" w:rsidRDefault="00BC604A" w:rsidP="00A11F30">
            <w:pPr>
              <w:pStyle w:val="Paragraphedeliste"/>
              <w:numPr>
                <w:ilvl w:val="0"/>
                <w:numId w:val="3"/>
              </w:numPr>
              <w:rPr>
                <w:rFonts w:ascii="Verdana" w:hAnsi="Verdana"/>
                <w:sz w:val="20"/>
                <w:szCs w:val="20"/>
              </w:rPr>
            </w:pPr>
            <w:r w:rsidRPr="00A11F30">
              <w:rPr>
                <w:rFonts w:ascii="Verdana" w:hAnsi="Verdana"/>
                <w:sz w:val="20"/>
                <w:szCs w:val="20"/>
              </w:rPr>
              <w:t>Contrôle de la centrale incendie (une fois par an)</w:t>
            </w:r>
          </w:p>
        </w:tc>
      </w:tr>
      <w:tr w:rsidR="00BC604A" w14:paraId="0B2E75A6" w14:textId="77777777" w:rsidTr="00CF6C40">
        <w:tc>
          <w:tcPr>
            <w:tcW w:w="3431" w:type="dxa"/>
          </w:tcPr>
          <w:p w14:paraId="32CAAF38" w14:textId="77777777" w:rsidR="00BC604A" w:rsidRDefault="00BC604A" w:rsidP="00AD50D3">
            <w:pPr>
              <w:spacing w:before="240" w:after="240"/>
              <w:jc w:val="center"/>
              <w:rPr>
                <w:rFonts w:ascii="Verdana" w:hAnsi="Verdana"/>
                <w:sz w:val="18"/>
                <w:szCs w:val="20"/>
              </w:rPr>
            </w:pPr>
            <w:r w:rsidRPr="007E1D21">
              <w:rPr>
                <w:rFonts w:ascii="Verdana" w:hAnsi="Verdana"/>
                <w:sz w:val="18"/>
                <w:szCs w:val="20"/>
              </w:rPr>
              <w:t>ENTRETIENS GENERAUX</w:t>
            </w:r>
          </w:p>
          <w:p w14:paraId="24B0B9CF" w14:textId="77777777" w:rsidR="00BC604A" w:rsidRPr="007E1D21" w:rsidRDefault="00BC604A" w:rsidP="00AD50D3">
            <w:pPr>
              <w:spacing w:before="240" w:after="240"/>
              <w:jc w:val="center"/>
              <w:rPr>
                <w:rFonts w:ascii="Verdana" w:hAnsi="Verdana"/>
                <w:sz w:val="18"/>
                <w:szCs w:val="20"/>
              </w:rPr>
            </w:pPr>
            <w:r w:rsidRPr="00F5265D">
              <w:rPr>
                <w:rFonts w:ascii="Trebuchet MS" w:hAnsi="Trebuchet MS"/>
                <w:b/>
                <w:noProof/>
              </w:rPr>
              <w:drawing>
                <wp:inline distT="0" distB="0" distL="0" distR="0" wp14:anchorId="7C03797B" wp14:editId="2C585A5F">
                  <wp:extent cx="1200150" cy="858106"/>
                  <wp:effectExtent l="0" t="0" r="0" b="0"/>
                  <wp:docPr id="291" name="Imag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bmp"/>
                          <pic:cNvPicPr/>
                        </pic:nvPicPr>
                        <pic:blipFill>
                          <a:blip r:embed="rId7">
                            <a:extLst>
                              <a:ext uri="{28A0092B-C50C-407E-A947-70E740481C1C}">
                                <a14:useLocalDpi xmlns:a14="http://schemas.microsoft.com/office/drawing/2010/main" val="0"/>
                              </a:ext>
                            </a:extLst>
                          </a:blip>
                          <a:stretch>
                            <a:fillRect/>
                          </a:stretch>
                        </pic:blipFill>
                        <pic:spPr>
                          <a:xfrm>
                            <a:off x="0" y="0"/>
                            <a:ext cx="1208439" cy="864033"/>
                          </a:xfrm>
                          <a:prstGeom prst="rect">
                            <a:avLst/>
                          </a:prstGeom>
                        </pic:spPr>
                      </pic:pic>
                    </a:graphicData>
                  </a:graphic>
                </wp:inline>
              </w:drawing>
            </w:r>
          </w:p>
        </w:tc>
        <w:tc>
          <w:tcPr>
            <w:tcW w:w="6166" w:type="dxa"/>
            <w:shd w:val="clear" w:color="auto" w:fill="D9D9D9" w:themeFill="background1" w:themeFillShade="D9"/>
          </w:tcPr>
          <w:p w14:paraId="2AD4F219" w14:textId="77777777" w:rsidR="00BC604A" w:rsidRPr="007E1D21" w:rsidRDefault="00BC604A" w:rsidP="00AD50D3">
            <w:pPr>
              <w:rPr>
                <w:rFonts w:ascii="Verdana" w:hAnsi="Verdana"/>
                <w:sz w:val="20"/>
                <w:szCs w:val="20"/>
              </w:rPr>
            </w:pPr>
          </w:p>
        </w:tc>
        <w:tc>
          <w:tcPr>
            <w:tcW w:w="5813" w:type="dxa"/>
          </w:tcPr>
          <w:p w14:paraId="46586FE4" w14:textId="6CFFF6B2" w:rsidR="00A11F30" w:rsidRDefault="00BC604A" w:rsidP="00A11F30">
            <w:pPr>
              <w:pStyle w:val="Paragraphedeliste"/>
              <w:numPr>
                <w:ilvl w:val="0"/>
                <w:numId w:val="4"/>
              </w:numPr>
              <w:rPr>
                <w:rFonts w:ascii="Verdana" w:hAnsi="Verdana"/>
                <w:sz w:val="20"/>
                <w:szCs w:val="20"/>
              </w:rPr>
            </w:pPr>
            <w:r w:rsidRPr="00A11F30">
              <w:rPr>
                <w:rFonts w:ascii="Verdana" w:hAnsi="Verdana"/>
                <w:sz w:val="20"/>
                <w:szCs w:val="20"/>
              </w:rPr>
              <w:t xml:space="preserve">Coût annuel des techniciennes de surface (prestataires externes et </w:t>
            </w:r>
            <w:r w:rsidR="00F6190D">
              <w:rPr>
                <w:rFonts w:ascii="Verdana" w:hAnsi="Verdana"/>
                <w:sz w:val="20"/>
                <w:szCs w:val="20"/>
              </w:rPr>
              <w:t>personnel interne)</w:t>
            </w:r>
          </w:p>
          <w:p w14:paraId="49C94A41" w14:textId="77777777" w:rsidR="00A11F30" w:rsidRDefault="00A11F30" w:rsidP="00A11F30">
            <w:pPr>
              <w:pStyle w:val="Paragraphedeliste"/>
              <w:numPr>
                <w:ilvl w:val="0"/>
                <w:numId w:val="4"/>
              </w:numPr>
              <w:rPr>
                <w:rFonts w:ascii="Verdana" w:hAnsi="Verdana"/>
                <w:sz w:val="20"/>
                <w:szCs w:val="20"/>
              </w:rPr>
            </w:pPr>
            <w:r>
              <w:rPr>
                <w:rFonts w:ascii="Verdana" w:hAnsi="Verdana"/>
                <w:sz w:val="20"/>
                <w:szCs w:val="20"/>
              </w:rPr>
              <w:t>P</w:t>
            </w:r>
            <w:r w:rsidR="00BC604A" w:rsidRPr="00A11F30">
              <w:rPr>
                <w:rFonts w:ascii="Verdana" w:hAnsi="Verdana"/>
                <w:sz w:val="20"/>
                <w:szCs w:val="20"/>
              </w:rPr>
              <w:t xml:space="preserve">roduits d’entretien, sacs poubelles </w:t>
            </w:r>
          </w:p>
          <w:p w14:paraId="4A3283F1" w14:textId="66BAF6AB" w:rsidR="00A11F30" w:rsidRDefault="00A11F30" w:rsidP="00A11F30">
            <w:pPr>
              <w:pStyle w:val="Paragraphedeliste"/>
              <w:numPr>
                <w:ilvl w:val="0"/>
                <w:numId w:val="4"/>
              </w:numPr>
              <w:rPr>
                <w:rFonts w:ascii="Verdana" w:hAnsi="Verdana"/>
                <w:sz w:val="20"/>
                <w:szCs w:val="20"/>
              </w:rPr>
            </w:pPr>
            <w:r>
              <w:rPr>
                <w:rFonts w:ascii="Verdana" w:hAnsi="Verdana"/>
                <w:sz w:val="20"/>
                <w:szCs w:val="20"/>
              </w:rPr>
              <w:t>R</w:t>
            </w:r>
            <w:r w:rsidR="00BC604A" w:rsidRPr="00A11F30">
              <w:rPr>
                <w:rFonts w:ascii="Verdana" w:hAnsi="Verdana"/>
                <w:sz w:val="20"/>
                <w:szCs w:val="20"/>
              </w:rPr>
              <w:t xml:space="preserve">éparations diverses (menuiserie, </w:t>
            </w:r>
            <w:r w:rsidR="00F6190D" w:rsidRPr="00A11F30">
              <w:rPr>
                <w:rFonts w:ascii="Verdana" w:hAnsi="Verdana"/>
                <w:sz w:val="20"/>
                <w:szCs w:val="20"/>
              </w:rPr>
              <w:t>peinture, …</w:t>
            </w:r>
            <w:r w:rsidR="00BC604A" w:rsidRPr="00A11F30">
              <w:rPr>
                <w:rFonts w:ascii="Verdana" w:hAnsi="Verdana"/>
                <w:sz w:val="20"/>
                <w:szCs w:val="20"/>
              </w:rPr>
              <w:t>) relatifs à l’entre</w:t>
            </w:r>
            <w:r w:rsidR="00F6190D">
              <w:rPr>
                <w:rFonts w:ascii="Verdana" w:hAnsi="Verdana"/>
                <w:sz w:val="20"/>
                <w:szCs w:val="20"/>
              </w:rPr>
              <w:t>tien des communs (appartements)</w:t>
            </w:r>
          </w:p>
          <w:p w14:paraId="0EFC96B6" w14:textId="77777777" w:rsidR="00BC604A" w:rsidRPr="00A11F30" w:rsidRDefault="00A11F30" w:rsidP="00A11F30">
            <w:pPr>
              <w:pStyle w:val="Paragraphedeliste"/>
              <w:numPr>
                <w:ilvl w:val="0"/>
                <w:numId w:val="4"/>
              </w:numPr>
              <w:rPr>
                <w:rFonts w:ascii="Verdana" w:hAnsi="Verdana"/>
                <w:sz w:val="20"/>
                <w:szCs w:val="20"/>
              </w:rPr>
            </w:pPr>
            <w:r>
              <w:rPr>
                <w:rFonts w:ascii="Verdana" w:hAnsi="Verdana"/>
                <w:sz w:val="20"/>
                <w:szCs w:val="20"/>
              </w:rPr>
              <w:t>E</w:t>
            </w:r>
            <w:r w:rsidR="00BC604A" w:rsidRPr="00A11F30">
              <w:rPr>
                <w:rFonts w:ascii="Verdana" w:hAnsi="Verdana"/>
                <w:sz w:val="20"/>
                <w:szCs w:val="20"/>
              </w:rPr>
              <w:t>au utilisée dans les communs</w:t>
            </w:r>
          </w:p>
        </w:tc>
      </w:tr>
      <w:tr w:rsidR="00BC604A" w14:paraId="22F185DB" w14:textId="77777777" w:rsidTr="00CF6C40">
        <w:tc>
          <w:tcPr>
            <w:tcW w:w="3431" w:type="dxa"/>
          </w:tcPr>
          <w:p w14:paraId="10641742" w14:textId="77777777" w:rsidR="00BC604A" w:rsidRDefault="00BC604A" w:rsidP="00AD50D3">
            <w:pPr>
              <w:spacing w:before="240" w:after="240"/>
              <w:jc w:val="center"/>
              <w:rPr>
                <w:rFonts w:ascii="Verdana" w:hAnsi="Verdana"/>
                <w:sz w:val="18"/>
                <w:szCs w:val="20"/>
              </w:rPr>
            </w:pPr>
            <w:r>
              <w:rPr>
                <w:rFonts w:ascii="Verdana" w:hAnsi="Verdana"/>
                <w:sz w:val="18"/>
                <w:szCs w:val="20"/>
              </w:rPr>
              <w:t>ENTRETIENS PREVENTIFS</w:t>
            </w:r>
          </w:p>
          <w:p w14:paraId="6ADCEA0F" w14:textId="77777777" w:rsidR="00BC604A" w:rsidRPr="007E1D21" w:rsidRDefault="00596DF9" w:rsidP="00AD50D3">
            <w:pPr>
              <w:spacing w:before="240" w:after="240"/>
              <w:jc w:val="center"/>
              <w:rPr>
                <w:rFonts w:ascii="Verdana" w:hAnsi="Verdana"/>
                <w:sz w:val="18"/>
                <w:szCs w:val="20"/>
              </w:rPr>
            </w:pPr>
            <w:r>
              <w:rPr>
                <w:rFonts w:ascii="Verdana" w:hAnsi="Verdana"/>
                <w:noProof/>
                <w:sz w:val="18"/>
                <w:szCs w:val="20"/>
              </w:rPr>
              <w:drawing>
                <wp:inline distT="0" distB="0" distL="0" distR="0" wp14:anchorId="548FBD8F" wp14:editId="296808FE">
                  <wp:extent cx="628650" cy="74371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in-g1a7404ac4_12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6573" cy="753084"/>
                          </a:xfrm>
                          <a:prstGeom prst="rect">
                            <a:avLst/>
                          </a:prstGeom>
                        </pic:spPr>
                      </pic:pic>
                    </a:graphicData>
                  </a:graphic>
                </wp:inline>
              </w:drawing>
            </w:r>
          </w:p>
        </w:tc>
        <w:tc>
          <w:tcPr>
            <w:tcW w:w="6166" w:type="dxa"/>
            <w:shd w:val="clear" w:color="auto" w:fill="D9D9D9" w:themeFill="background1" w:themeFillShade="D9"/>
          </w:tcPr>
          <w:p w14:paraId="380C2C4C" w14:textId="77777777" w:rsidR="00BC604A" w:rsidRPr="007E1D21" w:rsidRDefault="00BC604A" w:rsidP="00AD50D3">
            <w:pPr>
              <w:rPr>
                <w:rFonts w:ascii="Verdana" w:hAnsi="Verdana"/>
                <w:sz w:val="20"/>
                <w:szCs w:val="20"/>
              </w:rPr>
            </w:pPr>
          </w:p>
        </w:tc>
        <w:tc>
          <w:tcPr>
            <w:tcW w:w="5813" w:type="dxa"/>
          </w:tcPr>
          <w:p w14:paraId="460C3A59" w14:textId="77777777" w:rsidR="00BC604A" w:rsidRDefault="00BC604A" w:rsidP="00A11F30">
            <w:pPr>
              <w:pStyle w:val="Paragraphedeliste"/>
              <w:numPr>
                <w:ilvl w:val="0"/>
                <w:numId w:val="5"/>
              </w:numPr>
              <w:rPr>
                <w:rFonts w:ascii="Verdana" w:hAnsi="Verdana"/>
                <w:sz w:val="20"/>
                <w:szCs w:val="20"/>
              </w:rPr>
            </w:pPr>
            <w:r w:rsidRPr="00A11F30">
              <w:rPr>
                <w:rFonts w:ascii="Verdana" w:hAnsi="Verdana"/>
                <w:sz w:val="20"/>
                <w:szCs w:val="20"/>
              </w:rPr>
              <w:t>Entretiens préventifs des toitures, corniches et canalisations communes</w:t>
            </w:r>
          </w:p>
          <w:p w14:paraId="5E2740E5" w14:textId="77777777" w:rsidR="00BC604A" w:rsidRPr="00A11F30" w:rsidRDefault="00BC604A" w:rsidP="00A11F30">
            <w:pPr>
              <w:pStyle w:val="Paragraphedeliste"/>
              <w:numPr>
                <w:ilvl w:val="0"/>
                <w:numId w:val="5"/>
              </w:numPr>
              <w:rPr>
                <w:rFonts w:ascii="Verdana" w:hAnsi="Verdana"/>
                <w:sz w:val="20"/>
                <w:szCs w:val="20"/>
              </w:rPr>
            </w:pPr>
            <w:r w:rsidRPr="00A11F30">
              <w:rPr>
                <w:rFonts w:ascii="Verdana" w:hAnsi="Verdana"/>
                <w:sz w:val="20"/>
                <w:szCs w:val="20"/>
              </w:rPr>
              <w:t>Provision pour le dépannage des canalisations communes</w:t>
            </w:r>
          </w:p>
        </w:tc>
      </w:tr>
      <w:tr w:rsidR="00BC604A" w14:paraId="59DF3014" w14:textId="77777777" w:rsidTr="00CF6C40">
        <w:tc>
          <w:tcPr>
            <w:tcW w:w="3431" w:type="dxa"/>
          </w:tcPr>
          <w:p w14:paraId="26A8F548" w14:textId="77777777" w:rsidR="00BC604A" w:rsidRPr="007E1D21" w:rsidRDefault="00BC604A" w:rsidP="00BC604A">
            <w:pPr>
              <w:rPr>
                <w:rFonts w:ascii="Verdana" w:hAnsi="Verdana"/>
                <w:color w:val="0066FF"/>
                <w:sz w:val="18"/>
                <w:szCs w:val="20"/>
              </w:rPr>
            </w:pPr>
          </w:p>
          <w:p w14:paraId="3AD69303" w14:textId="77777777" w:rsidR="00BC604A" w:rsidRDefault="00BC604A" w:rsidP="00BC604A">
            <w:pPr>
              <w:jc w:val="center"/>
              <w:rPr>
                <w:rFonts w:ascii="Verdana" w:hAnsi="Verdana"/>
                <w:sz w:val="18"/>
                <w:szCs w:val="20"/>
              </w:rPr>
            </w:pPr>
            <w:r>
              <w:rPr>
                <w:rFonts w:ascii="Verdana" w:hAnsi="Verdana"/>
                <w:sz w:val="18"/>
                <w:szCs w:val="20"/>
              </w:rPr>
              <w:t>ASCENS</w:t>
            </w:r>
            <w:r w:rsidRPr="007E1D21">
              <w:rPr>
                <w:rFonts w:ascii="Verdana" w:hAnsi="Verdana"/>
                <w:sz w:val="18"/>
                <w:szCs w:val="20"/>
              </w:rPr>
              <w:t>EURS</w:t>
            </w:r>
          </w:p>
          <w:p w14:paraId="54D2BB59" w14:textId="77777777" w:rsidR="00BC604A" w:rsidRDefault="00BC604A" w:rsidP="00BC604A">
            <w:pPr>
              <w:jc w:val="center"/>
              <w:rPr>
                <w:rFonts w:ascii="Verdana" w:hAnsi="Verdana"/>
                <w:sz w:val="18"/>
                <w:szCs w:val="20"/>
              </w:rPr>
            </w:pPr>
            <w:r>
              <w:rPr>
                <w:rFonts w:ascii="Verdana" w:hAnsi="Verdana"/>
                <w:noProof/>
                <w:sz w:val="18"/>
                <w:szCs w:val="20"/>
              </w:rPr>
              <w:drawing>
                <wp:inline distT="0" distB="0" distL="0" distR="0" wp14:anchorId="172DBD49" wp14:editId="50C35829">
                  <wp:extent cx="506269" cy="828675"/>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vator-g91cabfd42_12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1615" cy="837425"/>
                          </a:xfrm>
                          <a:prstGeom prst="rect">
                            <a:avLst/>
                          </a:prstGeom>
                        </pic:spPr>
                      </pic:pic>
                    </a:graphicData>
                  </a:graphic>
                </wp:inline>
              </w:drawing>
            </w:r>
          </w:p>
          <w:p w14:paraId="336A1655" w14:textId="77777777" w:rsidR="00BC604A" w:rsidRPr="007E1D21" w:rsidRDefault="00BC604A" w:rsidP="00BC604A">
            <w:pPr>
              <w:jc w:val="center"/>
              <w:rPr>
                <w:rFonts w:ascii="Verdana" w:hAnsi="Verdana"/>
                <w:sz w:val="18"/>
                <w:szCs w:val="20"/>
              </w:rPr>
            </w:pPr>
          </w:p>
        </w:tc>
        <w:tc>
          <w:tcPr>
            <w:tcW w:w="6166" w:type="dxa"/>
            <w:shd w:val="clear" w:color="auto" w:fill="D9D9D9" w:themeFill="background1" w:themeFillShade="D9"/>
          </w:tcPr>
          <w:p w14:paraId="07E77BEC" w14:textId="77777777" w:rsidR="00BC604A" w:rsidRPr="007E1D21" w:rsidRDefault="00BC604A" w:rsidP="00BC604A">
            <w:pPr>
              <w:rPr>
                <w:rFonts w:ascii="Verdana" w:hAnsi="Verdana"/>
                <w:sz w:val="20"/>
                <w:szCs w:val="20"/>
              </w:rPr>
            </w:pPr>
          </w:p>
        </w:tc>
        <w:tc>
          <w:tcPr>
            <w:tcW w:w="5813" w:type="dxa"/>
          </w:tcPr>
          <w:p w14:paraId="5689B352" w14:textId="77777777" w:rsidR="00BC604A" w:rsidRPr="00A11F30" w:rsidRDefault="00BC604A" w:rsidP="00A11F30">
            <w:pPr>
              <w:pStyle w:val="Paragraphedeliste"/>
              <w:numPr>
                <w:ilvl w:val="0"/>
                <w:numId w:val="6"/>
              </w:numPr>
              <w:rPr>
                <w:rFonts w:ascii="Verdana" w:hAnsi="Verdana"/>
                <w:sz w:val="20"/>
                <w:szCs w:val="20"/>
              </w:rPr>
            </w:pPr>
            <w:r w:rsidRPr="00A11F30">
              <w:rPr>
                <w:rFonts w:ascii="Verdana" w:hAnsi="Verdana"/>
                <w:sz w:val="20"/>
                <w:szCs w:val="20"/>
              </w:rPr>
              <w:t>Interventions et contrôle périodiques des ascenseurs deux fois par an (uniquement pour les logements concernés)</w:t>
            </w:r>
          </w:p>
          <w:p w14:paraId="7BB13F88" w14:textId="77777777" w:rsidR="00BC604A" w:rsidRPr="00A11F30" w:rsidRDefault="00BC604A" w:rsidP="00A11F30">
            <w:pPr>
              <w:pStyle w:val="Paragraphedeliste"/>
              <w:numPr>
                <w:ilvl w:val="0"/>
                <w:numId w:val="6"/>
              </w:numPr>
              <w:rPr>
                <w:rFonts w:ascii="Verdana" w:hAnsi="Verdana"/>
                <w:sz w:val="20"/>
                <w:szCs w:val="20"/>
              </w:rPr>
            </w:pPr>
            <w:r w:rsidRPr="00A11F30">
              <w:rPr>
                <w:rFonts w:ascii="Verdana" w:hAnsi="Verdana"/>
                <w:sz w:val="20"/>
                <w:szCs w:val="20"/>
              </w:rPr>
              <w:t>Réparations</w:t>
            </w:r>
          </w:p>
        </w:tc>
      </w:tr>
      <w:tr w:rsidR="00BC604A" w:rsidRPr="004D34A7" w14:paraId="49E27DF5" w14:textId="77777777" w:rsidTr="004D34A7">
        <w:tc>
          <w:tcPr>
            <w:tcW w:w="3431" w:type="dxa"/>
          </w:tcPr>
          <w:p w14:paraId="624449DA" w14:textId="77777777" w:rsidR="00BC604A" w:rsidRPr="004D34A7" w:rsidRDefault="00BC604A" w:rsidP="00AD50D3">
            <w:pPr>
              <w:jc w:val="center"/>
              <w:rPr>
                <w:rFonts w:ascii="Verdana" w:hAnsi="Verdana"/>
                <w:b/>
                <w:caps/>
                <w:sz w:val="24"/>
                <w:szCs w:val="20"/>
              </w:rPr>
            </w:pPr>
            <w:r w:rsidRPr="004D34A7">
              <w:rPr>
                <w:rFonts w:ascii="Verdana" w:hAnsi="Verdana"/>
                <w:b/>
                <w:caps/>
                <w:sz w:val="24"/>
                <w:szCs w:val="20"/>
              </w:rPr>
              <w:lastRenderedPageBreak/>
              <w:t>PROVISIONS</w:t>
            </w:r>
          </w:p>
          <w:p w14:paraId="70D2212F" w14:textId="77777777" w:rsidR="00BC604A" w:rsidRPr="004D34A7" w:rsidRDefault="00BC604A" w:rsidP="00AD50D3">
            <w:pPr>
              <w:jc w:val="center"/>
              <w:rPr>
                <w:rFonts w:ascii="Verdana" w:hAnsi="Verdana"/>
                <w:b/>
                <w:caps/>
                <w:sz w:val="24"/>
                <w:szCs w:val="20"/>
              </w:rPr>
            </w:pPr>
          </w:p>
        </w:tc>
        <w:tc>
          <w:tcPr>
            <w:tcW w:w="6166" w:type="dxa"/>
            <w:shd w:val="clear" w:color="auto" w:fill="C5E0B3" w:themeFill="accent6" w:themeFillTint="66"/>
          </w:tcPr>
          <w:p w14:paraId="485004FB" w14:textId="77777777" w:rsidR="00BC604A" w:rsidRPr="004D34A7" w:rsidRDefault="00BC604A" w:rsidP="00BC604A">
            <w:pPr>
              <w:jc w:val="center"/>
              <w:rPr>
                <w:rFonts w:ascii="Verdana" w:hAnsi="Verdana"/>
                <w:b/>
                <w:caps/>
                <w:sz w:val="24"/>
                <w:szCs w:val="20"/>
              </w:rPr>
            </w:pPr>
            <w:r w:rsidRPr="004D34A7">
              <w:rPr>
                <w:rFonts w:ascii="Verdana" w:hAnsi="Verdana"/>
                <w:b/>
                <w:caps/>
                <w:sz w:val="24"/>
                <w:szCs w:val="20"/>
              </w:rPr>
              <w:t>MAISONS</w:t>
            </w:r>
          </w:p>
          <w:p w14:paraId="40DBE33B" w14:textId="77777777" w:rsidR="00BC604A" w:rsidRPr="004D34A7" w:rsidRDefault="00BC604A" w:rsidP="00AD50D3">
            <w:pPr>
              <w:jc w:val="center"/>
              <w:rPr>
                <w:rFonts w:ascii="Verdana" w:hAnsi="Verdana"/>
                <w:b/>
                <w:caps/>
                <w:sz w:val="24"/>
                <w:szCs w:val="20"/>
              </w:rPr>
            </w:pPr>
          </w:p>
        </w:tc>
        <w:tc>
          <w:tcPr>
            <w:tcW w:w="5813" w:type="dxa"/>
            <w:shd w:val="clear" w:color="auto" w:fill="FFD966" w:themeFill="accent4" w:themeFillTint="99"/>
          </w:tcPr>
          <w:p w14:paraId="4EA9244D" w14:textId="77777777" w:rsidR="00BC604A" w:rsidRPr="004D34A7" w:rsidRDefault="00BC604A" w:rsidP="00AD50D3">
            <w:pPr>
              <w:jc w:val="center"/>
              <w:rPr>
                <w:rFonts w:ascii="Verdana" w:hAnsi="Verdana"/>
                <w:b/>
                <w:caps/>
                <w:sz w:val="24"/>
                <w:szCs w:val="20"/>
              </w:rPr>
            </w:pPr>
            <w:r w:rsidRPr="004D34A7">
              <w:rPr>
                <w:rFonts w:ascii="Verdana" w:hAnsi="Verdana"/>
                <w:b/>
                <w:caps/>
                <w:sz w:val="24"/>
                <w:szCs w:val="20"/>
              </w:rPr>
              <w:t>APPARTEMENTS</w:t>
            </w:r>
          </w:p>
        </w:tc>
      </w:tr>
      <w:tr w:rsidR="00BC604A" w14:paraId="4FFF4839" w14:textId="77777777" w:rsidTr="00542E58">
        <w:tc>
          <w:tcPr>
            <w:tcW w:w="3431" w:type="dxa"/>
          </w:tcPr>
          <w:p w14:paraId="1106EDA2" w14:textId="77777777" w:rsidR="00BC604A" w:rsidRPr="007E1D21" w:rsidRDefault="00BC604A" w:rsidP="00BC604A">
            <w:pPr>
              <w:spacing w:before="240" w:after="240"/>
              <w:jc w:val="center"/>
              <w:rPr>
                <w:rFonts w:ascii="Verdana" w:hAnsi="Verdana"/>
                <w:sz w:val="18"/>
                <w:szCs w:val="20"/>
              </w:rPr>
            </w:pPr>
            <w:r w:rsidRPr="007E1D21">
              <w:rPr>
                <w:rFonts w:ascii="Verdana" w:hAnsi="Verdana"/>
                <w:sz w:val="18"/>
                <w:szCs w:val="20"/>
              </w:rPr>
              <w:t>CHAUFFAGE</w:t>
            </w:r>
            <w:r w:rsidRPr="00F5265D">
              <w:rPr>
                <w:rFonts w:ascii="Trebuchet MS" w:hAnsi="Trebuchet MS"/>
                <w:b/>
                <w:noProof/>
              </w:rPr>
              <w:drawing>
                <wp:inline distT="0" distB="0" distL="0" distR="0" wp14:anchorId="7119F109" wp14:editId="0B40E5CD">
                  <wp:extent cx="1623060" cy="1148907"/>
                  <wp:effectExtent l="0" t="0" r="0" b="0"/>
                  <wp:docPr id="292" name="Imag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uffage.bmp"/>
                          <pic:cNvPicPr/>
                        </pic:nvPicPr>
                        <pic:blipFill>
                          <a:blip r:embed="rId10">
                            <a:extLst>
                              <a:ext uri="{28A0092B-C50C-407E-A947-70E740481C1C}">
                                <a14:useLocalDpi xmlns:a14="http://schemas.microsoft.com/office/drawing/2010/main" val="0"/>
                              </a:ext>
                            </a:extLst>
                          </a:blip>
                          <a:stretch>
                            <a:fillRect/>
                          </a:stretch>
                        </pic:blipFill>
                        <pic:spPr>
                          <a:xfrm>
                            <a:off x="0" y="0"/>
                            <a:ext cx="1637212" cy="1158925"/>
                          </a:xfrm>
                          <a:prstGeom prst="rect">
                            <a:avLst/>
                          </a:prstGeom>
                        </pic:spPr>
                      </pic:pic>
                    </a:graphicData>
                  </a:graphic>
                </wp:inline>
              </w:drawing>
            </w:r>
          </w:p>
        </w:tc>
        <w:tc>
          <w:tcPr>
            <w:tcW w:w="11979" w:type="dxa"/>
            <w:gridSpan w:val="2"/>
          </w:tcPr>
          <w:p w14:paraId="51D71A38" w14:textId="511EDD4F" w:rsidR="00BC604A" w:rsidRPr="00A11F30" w:rsidRDefault="00B51758" w:rsidP="00A11F30">
            <w:pPr>
              <w:pStyle w:val="Paragraphedeliste"/>
              <w:numPr>
                <w:ilvl w:val="0"/>
                <w:numId w:val="7"/>
              </w:numPr>
              <w:rPr>
                <w:rFonts w:ascii="Verdana" w:hAnsi="Verdana"/>
                <w:sz w:val="20"/>
                <w:szCs w:val="20"/>
              </w:rPr>
            </w:pPr>
            <w:r>
              <w:rPr>
                <w:rFonts w:ascii="Verdana" w:hAnsi="Verdana"/>
                <w:sz w:val="20"/>
                <w:szCs w:val="20"/>
              </w:rPr>
              <w:t>Entretiens</w:t>
            </w:r>
            <w:r w:rsidR="00BC604A" w:rsidRPr="00A11F30">
              <w:rPr>
                <w:rFonts w:ascii="Verdana" w:hAnsi="Verdana"/>
                <w:sz w:val="20"/>
                <w:szCs w:val="20"/>
              </w:rPr>
              <w:t xml:space="preserve"> des installations de chauffage (</w:t>
            </w:r>
            <w:proofErr w:type="spellStart"/>
            <w:proofErr w:type="gramStart"/>
            <w:r w:rsidR="00BC604A" w:rsidRPr="00A11F30">
              <w:rPr>
                <w:rFonts w:ascii="Verdana" w:hAnsi="Verdana"/>
                <w:sz w:val="20"/>
                <w:szCs w:val="20"/>
              </w:rPr>
              <w:t>gaz,mazout</w:t>
            </w:r>
            <w:proofErr w:type="spellEnd"/>
            <w:proofErr w:type="gramEnd"/>
            <w:r w:rsidR="00BC604A" w:rsidRPr="00A11F30">
              <w:rPr>
                <w:rFonts w:ascii="Verdana" w:hAnsi="Verdana"/>
                <w:sz w:val="20"/>
                <w:szCs w:val="20"/>
              </w:rPr>
              <w:t xml:space="preserve"> ou électrique) et de production d’eau chaude</w:t>
            </w:r>
            <w:r>
              <w:rPr>
                <w:rFonts w:ascii="Verdana" w:hAnsi="Verdana"/>
                <w:sz w:val="20"/>
                <w:szCs w:val="20"/>
              </w:rPr>
              <w:t xml:space="preserve"> </w:t>
            </w:r>
            <w:r w:rsidRPr="00A11F30">
              <w:rPr>
                <w:rFonts w:ascii="Verdana" w:hAnsi="Verdana"/>
                <w:sz w:val="20"/>
                <w:szCs w:val="20"/>
              </w:rPr>
              <w:t>(tous les 2 ans pour le gaz, tous les ans pour le mazout)</w:t>
            </w:r>
          </w:p>
          <w:p w14:paraId="4415C34A" w14:textId="589A00B7" w:rsidR="00BC604A" w:rsidRPr="00A11F30" w:rsidRDefault="00BC604A" w:rsidP="00A11F30">
            <w:pPr>
              <w:pStyle w:val="Paragraphedeliste"/>
              <w:numPr>
                <w:ilvl w:val="0"/>
                <w:numId w:val="7"/>
              </w:numPr>
              <w:rPr>
                <w:rFonts w:ascii="Verdana" w:hAnsi="Verdana"/>
                <w:sz w:val="20"/>
                <w:szCs w:val="20"/>
              </w:rPr>
            </w:pPr>
            <w:r w:rsidRPr="00A11F30">
              <w:rPr>
                <w:rFonts w:ascii="Verdana" w:hAnsi="Verdana"/>
                <w:sz w:val="20"/>
                <w:szCs w:val="20"/>
              </w:rPr>
              <w:t>Omnium pour le chauffage central payée à 50% par le propriétaire et à 50% par le locataire, couvrant les dépannages</w:t>
            </w:r>
            <w:r w:rsidR="00B51758">
              <w:rPr>
                <w:rFonts w:ascii="Verdana" w:hAnsi="Verdana"/>
                <w:sz w:val="20"/>
                <w:szCs w:val="20"/>
              </w:rPr>
              <w:t xml:space="preserve">, les pièces et les </w:t>
            </w:r>
            <w:r w:rsidRPr="00A11F30">
              <w:rPr>
                <w:rFonts w:ascii="Verdana" w:hAnsi="Verdana"/>
                <w:sz w:val="20"/>
                <w:szCs w:val="20"/>
              </w:rPr>
              <w:t>réparations</w:t>
            </w:r>
            <w:r w:rsidR="00B51758">
              <w:rPr>
                <w:rFonts w:ascii="Verdana" w:hAnsi="Verdana"/>
                <w:sz w:val="20"/>
                <w:szCs w:val="20"/>
              </w:rPr>
              <w:t xml:space="preserve"> </w:t>
            </w:r>
          </w:p>
          <w:p w14:paraId="11F1CBC5" w14:textId="6FED040D" w:rsidR="00BC604A" w:rsidRPr="00A11F30" w:rsidRDefault="00BC604A" w:rsidP="00A11F30">
            <w:pPr>
              <w:pStyle w:val="Paragraphedeliste"/>
              <w:numPr>
                <w:ilvl w:val="0"/>
                <w:numId w:val="7"/>
              </w:numPr>
              <w:rPr>
                <w:rFonts w:ascii="Verdana" w:hAnsi="Verdana"/>
                <w:sz w:val="20"/>
                <w:szCs w:val="20"/>
              </w:rPr>
            </w:pPr>
            <w:r w:rsidRPr="00A11F30">
              <w:rPr>
                <w:rFonts w:ascii="Verdana" w:hAnsi="Verdana"/>
                <w:sz w:val="20"/>
                <w:szCs w:val="20"/>
              </w:rPr>
              <w:t>Déplacements inutiles facturés au locataire</w:t>
            </w:r>
            <w:r w:rsidR="00B51758">
              <w:rPr>
                <w:rFonts w:ascii="Verdana" w:hAnsi="Verdana"/>
                <w:sz w:val="20"/>
                <w:szCs w:val="20"/>
              </w:rPr>
              <w:t xml:space="preserve"> malgré l’omnium pour les cas suivants</w:t>
            </w:r>
            <w:r w:rsidRPr="00A11F30">
              <w:rPr>
                <w:rFonts w:ascii="Verdana" w:hAnsi="Verdana"/>
                <w:sz w:val="20"/>
                <w:szCs w:val="20"/>
              </w:rPr>
              <w:t> : si aucun problème technique mais dysfonctionnement lié au mauvais usage</w:t>
            </w:r>
            <w:r w:rsidR="00B51758">
              <w:rPr>
                <w:rFonts w:ascii="Verdana" w:hAnsi="Verdana"/>
                <w:sz w:val="20"/>
                <w:szCs w:val="20"/>
              </w:rPr>
              <w:t xml:space="preserve">, pour des </w:t>
            </w:r>
            <w:r w:rsidR="00F6190D">
              <w:rPr>
                <w:rFonts w:ascii="Verdana" w:hAnsi="Verdana"/>
                <w:sz w:val="20"/>
                <w:szCs w:val="20"/>
              </w:rPr>
              <w:t>réglages</w:t>
            </w:r>
            <w:r w:rsidR="00B51758">
              <w:rPr>
                <w:rFonts w:ascii="Verdana" w:hAnsi="Verdana"/>
                <w:sz w:val="20"/>
                <w:szCs w:val="20"/>
              </w:rPr>
              <w:t xml:space="preserve"> ou programmation du </w:t>
            </w:r>
            <w:r w:rsidRPr="00A11F30">
              <w:rPr>
                <w:rFonts w:ascii="Verdana" w:hAnsi="Verdana"/>
                <w:sz w:val="20"/>
                <w:szCs w:val="20"/>
              </w:rPr>
              <w:t>thermostat</w:t>
            </w:r>
            <w:r w:rsidR="00B51758">
              <w:rPr>
                <w:rFonts w:ascii="Verdana" w:hAnsi="Verdana"/>
                <w:sz w:val="20"/>
                <w:szCs w:val="20"/>
              </w:rPr>
              <w:t xml:space="preserve"> ou de la chaudière</w:t>
            </w:r>
            <w:r w:rsidRPr="00A11F30">
              <w:rPr>
                <w:rFonts w:ascii="Verdana" w:hAnsi="Verdana"/>
                <w:sz w:val="20"/>
                <w:szCs w:val="20"/>
              </w:rPr>
              <w:t>, remplacement des piles, position des vannes thermostatiques, purge des radiateurs, vérification des fusibles de la chaudière, de l’allumage et de la position du commutateur, manque d’eau dans l’installation, recharge du compteur à budget, robinetterie entartrée</w:t>
            </w:r>
            <w:r w:rsidR="00B51758">
              <w:rPr>
                <w:rFonts w:ascii="Verdana" w:hAnsi="Verdana"/>
                <w:sz w:val="20"/>
                <w:szCs w:val="20"/>
              </w:rPr>
              <w:t xml:space="preserve"> et toutes autres interventions reprises dans la brochure de la SWL… </w:t>
            </w:r>
          </w:p>
          <w:p w14:paraId="04230EE6" w14:textId="77777777" w:rsidR="00BC604A" w:rsidRPr="007E1D21" w:rsidRDefault="00BC604A" w:rsidP="00BC604A">
            <w:pPr>
              <w:rPr>
                <w:rFonts w:ascii="Verdana" w:hAnsi="Verdana"/>
                <w:sz w:val="20"/>
                <w:szCs w:val="20"/>
              </w:rPr>
            </w:pPr>
          </w:p>
        </w:tc>
      </w:tr>
      <w:tr w:rsidR="00BC604A" w14:paraId="530F970C" w14:textId="77777777" w:rsidTr="00CF6C40">
        <w:tc>
          <w:tcPr>
            <w:tcW w:w="3431" w:type="dxa"/>
          </w:tcPr>
          <w:p w14:paraId="0F82952B" w14:textId="77777777" w:rsidR="00BC604A" w:rsidRDefault="00BC604A" w:rsidP="00BC604A">
            <w:pPr>
              <w:spacing w:before="240" w:after="240"/>
              <w:jc w:val="center"/>
              <w:rPr>
                <w:rFonts w:ascii="Verdana" w:hAnsi="Verdana"/>
                <w:sz w:val="18"/>
                <w:szCs w:val="20"/>
              </w:rPr>
            </w:pPr>
            <w:r w:rsidRPr="007E1D21">
              <w:rPr>
                <w:rFonts w:ascii="Verdana" w:hAnsi="Verdana"/>
                <w:sz w:val="18"/>
                <w:szCs w:val="20"/>
              </w:rPr>
              <w:t>ELECTRICITE</w:t>
            </w:r>
          </w:p>
          <w:p w14:paraId="1FA139A9" w14:textId="77777777" w:rsidR="00BC604A" w:rsidRPr="007E1D21" w:rsidRDefault="00BC604A" w:rsidP="00BC604A">
            <w:pPr>
              <w:spacing w:before="240" w:after="240"/>
              <w:jc w:val="center"/>
              <w:rPr>
                <w:rFonts w:ascii="Verdana" w:hAnsi="Verdana"/>
                <w:sz w:val="18"/>
                <w:szCs w:val="20"/>
              </w:rPr>
            </w:pPr>
            <w:r>
              <w:rPr>
                <w:rFonts w:ascii="Verdana" w:eastAsia="Verdana" w:hAnsi="Verdana" w:cs="Verdana"/>
                <w:noProof/>
                <w:sz w:val="20"/>
              </w:rPr>
              <w:drawing>
                <wp:inline distT="0" distB="0" distL="0" distR="0" wp14:anchorId="53BCA2F1" wp14:editId="06C3DD9B">
                  <wp:extent cx="504825" cy="504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poul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inline>
              </w:drawing>
            </w:r>
          </w:p>
        </w:tc>
        <w:tc>
          <w:tcPr>
            <w:tcW w:w="6166" w:type="dxa"/>
            <w:shd w:val="clear" w:color="auto" w:fill="D9D9D9" w:themeFill="background1" w:themeFillShade="D9"/>
          </w:tcPr>
          <w:p w14:paraId="072DD43A" w14:textId="77777777" w:rsidR="00BC604A" w:rsidRPr="007E1D21" w:rsidRDefault="00BC604A" w:rsidP="00BC604A">
            <w:pPr>
              <w:rPr>
                <w:rFonts w:ascii="Verdana" w:hAnsi="Verdana"/>
                <w:sz w:val="20"/>
                <w:szCs w:val="20"/>
              </w:rPr>
            </w:pPr>
          </w:p>
        </w:tc>
        <w:tc>
          <w:tcPr>
            <w:tcW w:w="5813" w:type="dxa"/>
          </w:tcPr>
          <w:p w14:paraId="043361A8" w14:textId="77777777" w:rsidR="00BC604A" w:rsidRPr="00A11F30" w:rsidRDefault="00BC604A" w:rsidP="00A11F30">
            <w:pPr>
              <w:pStyle w:val="Paragraphedeliste"/>
              <w:numPr>
                <w:ilvl w:val="0"/>
                <w:numId w:val="8"/>
              </w:numPr>
              <w:rPr>
                <w:rFonts w:ascii="Verdana" w:hAnsi="Verdana"/>
                <w:sz w:val="20"/>
                <w:szCs w:val="20"/>
              </w:rPr>
            </w:pPr>
            <w:r w:rsidRPr="00A11F30">
              <w:rPr>
                <w:rFonts w:ascii="Verdana" w:hAnsi="Verdana"/>
                <w:sz w:val="20"/>
                <w:szCs w:val="20"/>
              </w:rPr>
              <w:t xml:space="preserve">Consommation annuelle électrique des communs </w:t>
            </w:r>
          </w:p>
          <w:p w14:paraId="4236206E" w14:textId="77777777" w:rsidR="00BC604A" w:rsidRPr="00A11F30" w:rsidRDefault="00BC604A" w:rsidP="00A11F30">
            <w:pPr>
              <w:pStyle w:val="Paragraphedeliste"/>
              <w:numPr>
                <w:ilvl w:val="0"/>
                <w:numId w:val="8"/>
              </w:numPr>
              <w:rPr>
                <w:rFonts w:ascii="Verdana" w:hAnsi="Verdana"/>
                <w:sz w:val="20"/>
                <w:szCs w:val="20"/>
              </w:rPr>
            </w:pPr>
            <w:r w:rsidRPr="00A11F30">
              <w:rPr>
                <w:rFonts w:ascii="Verdana" w:hAnsi="Verdana"/>
                <w:sz w:val="20"/>
                <w:szCs w:val="20"/>
              </w:rPr>
              <w:t xml:space="preserve">Réparations et entretiens des installations (lampes, détecteurs, …)  </w:t>
            </w:r>
          </w:p>
          <w:p w14:paraId="3186F0DB" w14:textId="77777777" w:rsidR="00BC604A" w:rsidRPr="00A11F30" w:rsidRDefault="00BC604A" w:rsidP="00A11F30">
            <w:pPr>
              <w:pStyle w:val="Paragraphedeliste"/>
              <w:numPr>
                <w:ilvl w:val="0"/>
                <w:numId w:val="8"/>
              </w:numPr>
              <w:rPr>
                <w:rFonts w:ascii="Verdana" w:hAnsi="Verdana"/>
                <w:sz w:val="20"/>
                <w:szCs w:val="20"/>
              </w:rPr>
            </w:pPr>
            <w:r w:rsidRPr="00A11F30">
              <w:rPr>
                <w:rFonts w:ascii="Verdana" w:hAnsi="Verdana"/>
                <w:sz w:val="20"/>
                <w:szCs w:val="20"/>
              </w:rPr>
              <w:t>Contrôle de la conformité</w:t>
            </w:r>
          </w:p>
          <w:p w14:paraId="20D2D3AF" w14:textId="77777777" w:rsidR="00BC604A" w:rsidRPr="00A11F30" w:rsidRDefault="00BC604A" w:rsidP="00A11F30">
            <w:pPr>
              <w:pStyle w:val="Paragraphedeliste"/>
              <w:numPr>
                <w:ilvl w:val="0"/>
                <w:numId w:val="8"/>
              </w:numPr>
              <w:rPr>
                <w:rFonts w:ascii="Verdana" w:hAnsi="Verdana"/>
                <w:sz w:val="20"/>
                <w:szCs w:val="20"/>
              </w:rPr>
            </w:pPr>
            <w:r w:rsidRPr="00A11F30">
              <w:rPr>
                <w:rFonts w:ascii="Verdana" w:hAnsi="Verdana"/>
                <w:sz w:val="20"/>
                <w:szCs w:val="20"/>
              </w:rPr>
              <w:t>Parlophones/badges/</w:t>
            </w:r>
            <w:proofErr w:type="spellStart"/>
            <w:r w:rsidRPr="00A11F30">
              <w:rPr>
                <w:rFonts w:ascii="Verdana" w:hAnsi="Verdana"/>
                <w:sz w:val="20"/>
                <w:szCs w:val="20"/>
              </w:rPr>
              <w:t>intratone</w:t>
            </w:r>
            <w:proofErr w:type="spellEnd"/>
          </w:p>
        </w:tc>
      </w:tr>
    </w:tbl>
    <w:p w14:paraId="18228339" w14:textId="77777777" w:rsidR="00BC604A" w:rsidRPr="00DC5C57" w:rsidRDefault="00BC604A" w:rsidP="00BC604A">
      <w:pPr>
        <w:pStyle w:val="Paragraphedeliste"/>
        <w:jc w:val="both"/>
        <w:rPr>
          <w:rFonts w:ascii="Trebuchet MS" w:hAnsi="Trebuchet MS"/>
        </w:rPr>
      </w:pPr>
    </w:p>
    <w:p w14:paraId="7F10EFB4" w14:textId="77777777" w:rsidR="00BC604A" w:rsidRPr="00F04200" w:rsidRDefault="00BC604A" w:rsidP="00BC604A">
      <w:pPr>
        <w:spacing w:after="0" w:line="276" w:lineRule="auto"/>
        <w:jc w:val="center"/>
        <w:rPr>
          <w:rFonts w:ascii="Verdana" w:eastAsia="Verdana" w:hAnsi="Verdana" w:cs="Verdana"/>
          <w:b/>
          <w:sz w:val="24"/>
        </w:rPr>
      </w:pPr>
      <w:r w:rsidRPr="00F04200">
        <w:rPr>
          <w:rFonts w:ascii="Verdana" w:eastAsia="Verdana" w:hAnsi="Verdana" w:cs="Verdana"/>
          <w:b/>
          <w:sz w:val="24"/>
        </w:rPr>
        <w:t>Le décompte des charges : c’est quoi ?</w:t>
      </w:r>
    </w:p>
    <w:p w14:paraId="47C8CFF7" w14:textId="77777777" w:rsidR="00BC604A" w:rsidRDefault="00BC604A" w:rsidP="00BC604A">
      <w:pPr>
        <w:spacing w:after="0" w:line="276" w:lineRule="auto"/>
        <w:rPr>
          <w:rFonts w:ascii="Trebuchet MS" w:eastAsia="Trebuchet MS" w:hAnsi="Trebuchet MS" w:cs="Trebuchet MS"/>
          <w:b/>
          <w:i/>
        </w:rPr>
      </w:pPr>
    </w:p>
    <w:p w14:paraId="7DDF0F11" w14:textId="77777777" w:rsidR="00BC604A" w:rsidRDefault="00BC604A" w:rsidP="00BC604A">
      <w:pPr>
        <w:spacing w:after="0" w:line="276" w:lineRule="auto"/>
        <w:jc w:val="both"/>
        <w:rPr>
          <w:rFonts w:ascii="Verdana" w:eastAsia="Verdana" w:hAnsi="Verdana" w:cs="Verdana"/>
          <w:sz w:val="20"/>
        </w:rPr>
      </w:pPr>
      <w:r>
        <w:rPr>
          <w:rFonts w:ascii="Verdana" w:eastAsia="Verdana" w:hAnsi="Verdana" w:cs="Verdana"/>
          <w:sz w:val="20"/>
        </w:rPr>
        <w:t xml:space="preserve">Comme chaque année, en fonction des factures que Sambre et </w:t>
      </w:r>
      <w:proofErr w:type="spellStart"/>
      <w:r>
        <w:rPr>
          <w:rFonts w:ascii="Verdana" w:eastAsia="Verdana" w:hAnsi="Verdana" w:cs="Verdana"/>
          <w:sz w:val="20"/>
        </w:rPr>
        <w:t>Biesme</w:t>
      </w:r>
      <w:proofErr w:type="spellEnd"/>
      <w:r>
        <w:rPr>
          <w:rFonts w:ascii="Verdana" w:eastAsia="Verdana" w:hAnsi="Verdana" w:cs="Verdana"/>
          <w:sz w:val="20"/>
        </w:rPr>
        <w:t xml:space="preserve"> reçoit, c’est-à-dire en fonction du coût des prestations de nos ouvriers ou des entreprises extérieures :</w:t>
      </w:r>
    </w:p>
    <w:p w14:paraId="7152054B" w14:textId="77777777" w:rsidR="00BC604A" w:rsidRDefault="00BC604A" w:rsidP="00BC604A">
      <w:pPr>
        <w:spacing w:after="0" w:line="276" w:lineRule="auto"/>
        <w:jc w:val="both"/>
        <w:rPr>
          <w:rFonts w:ascii="Verdana" w:eastAsia="Verdana" w:hAnsi="Verdana" w:cs="Verdana"/>
          <w:sz w:val="20"/>
        </w:rPr>
      </w:pPr>
    </w:p>
    <w:p w14:paraId="72A213D7" w14:textId="77777777" w:rsidR="00BC604A" w:rsidRDefault="00BC604A" w:rsidP="00BC604A">
      <w:pPr>
        <w:spacing w:after="0" w:line="276" w:lineRule="auto"/>
        <w:jc w:val="both"/>
        <w:rPr>
          <w:rFonts w:ascii="Verdana" w:eastAsia="Verdana" w:hAnsi="Verdana" w:cs="Verdana"/>
          <w:sz w:val="20"/>
        </w:rPr>
      </w:pPr>
      <w:r>
        <w:rPr>
          <w:rFonts w:ascii="Verdana" w:eastAsia="Verdana" w:hAnsi="Verdana" w:cs="Verdana"/>
          <w:sz w:val="20"/>
        </w:rPr>
        <w:t xml:space="preserve">1/ un </w:t>
      </w:r>
      <w:r w:rsidRPr="00F5265D">
        <w:rPr>
          <w:rFonts w:ascii="Verdana" w:eastAsia="Verdana" w:hAnsi="Verdana" w:cs="Verdana"/>
          <w:b/>
          <w:sz w:val="20"/>
        </w:rPr>
        <w:t>décompte</w:t>
      </w:r>
      <w:r w:rsidRPr="00F5265D">
        <w:rPr>
          <w:rFonts w:ascii="Verdana" w:eastAsia="Verdana" w:hAnsi="Verdana" w:cs="Verdana"/>
          <w:sz w:val="20"/>
        </w:rPr>
        <w:t xml:space="preserve"> </w:t>
      </w:r>
      <w:r>
        <w:rPr>
          <w:rFonts w:ascii="Verdana" w:eastAsia="Verdana" w:hAnsi="Verdana" w:cs="Verdana"/>
          <w:sz w:val="20"/>
        </w:rPr>
        <w:t xml:space="preserve">des charges locatives est </w:t>
      </w:r>
      <w:r w:rsidRPr="00F5265D">
        <w:rPr>
          <w:rFonts w:ascii="Verdana" w:eastAsia="Verdana" w:hAnsi="Verdana" w:cs="Verdana"/>
          <w:sz w:val="20"/>
        </w:rPr>
        <w:t>réalisé par le service comptabilité. Il est validé par le Comité consultatif des Locataires et des Propriétaires et par le Conseil d’Administration.</w:t>
      </w:r>
    </w:p>
    <w:p w14:paraId="4EE01A36" w14:textId="77777777" w:rsidR="00BC604A" w:rsidRDefault="00BC604A" w:rsidP="00BC604A">
      <w:pPr>
        <w:spacing w:after="0" w:line="276" w:lineRule="auto"/>
        <w:jc w:val="both"/>
        <w:rPr>
          <w:rFonts w:ascii="Verdana" w:eastAsia="Verdana" w:hAnsi="Verdana" w:cs="Verdana"/>
          <w:sz w:val="20"/>
        </w:rPr>
      </w:pPr>
    </w:p>
    <w:p w14:paraId="065A743E" w14:textId="77777777" w:rsidR="00BC604A" w:rsidRDefault="00BC604A" w:rsidP="00BC604A">
      <w:pPr>
        <w:spacing w:after="0" w:line="276" w:lineRule="auto"/>
        <w:jc w:val="both"/>
        <w:rPr>
          <w:rFonts w:ascii="Verdana" w:eastAsia="Verdana" w:hAnsi="Verdana" w:cs="Verdana"/>
          <w:sz w:val="20"/>
        </w:rPr>
      </w:pPr>
      <w:r>
        <w:rPr>
          <w:rFonts w:ascii="Verdana" w:eastAsia="Verdana" w:hAnsi="Verdana" w:cs="Verdana"/>
          <w:sz w:val="20"/>
        </w:rPr>
        <w:t xml:space="preserve">2/ les montants repris dans le décompte sont </w:t>
      </w:r>
      <w:r w:rsidRPr="00ED0C40">
        <w:rPr>
          <w:rFonts w:ascii="Verdana" w:eastAsia="Verdana" w:hAnsi="Verdana" w:cs="Verdana"/>
          <w:b/>
          <w:sz w:val="20"/>
        </w:rPr>
        <w:t>répartis</w:t>
      </w:r>
      <w:r>
        <w:rPr>
          <w:rFonts w:ascii="Verdana" w:eastAsia="Verdana" w:hAnsi="Verdana" w:cs="Verdana"/>
          <w:sz w:val="20"/>
        </w:rPr>
        <w:t xml:space="preserve"> </w:t>
      </w:r>
      <w:r w:rsidRPr="00ED0C40">
        <w:rPr>
          <w:rFonts w:ascii="Verdana" w:eastAsia="Verdana" w:hAnsi="Verdana" w:cs="Verdana"/>
          <w:b/>
          <w:sz w:val="20"/>
        </w:rPr>
        <w:t>et facturés</w:t>
      </w:r>
      <w:r>
        <w:rPr>
          <w:rFonts w:ascii="Verdana" w:eastAsia="Verdana" w:hAnsi="Verdana" w:cs="Verdana"/>
          <w:sz w:val="20"/>
        </w:rPr>
        <w:t xml:space="preserve"> équitablement entre : </w:t>
      </w:r>
    </w:p>
    <w:p w14:paraId="572A3435" w14:textId="77777777" w:rsidR="00BC604A" w:rsidRDefault="00BC604A" w:rsidP="00BC604A">
      <w:pPr>
        <w:spacing w:after="0" w:line="276" w:lineRule="auto"/>
        <w:jc w:val="both"/>
        <w:rPr>
          <w:rFonts w:ascii="Verdana" w:eastAsia="Verdana" w:hAnsi="Verdana" w:cs="Verdana"/>
          <w:sz w:val="20"/>
        </w:rPr>
      </w:pPr>
    </w:p>
    <w:p w14:paraId="0921AC40" w14:textId="77777777" w:rsidR="00BC604A" w:rsidRPr="005D3C12" w:rsidRDefault="00BC604A" w:rsidP="00BC604A">
      <w:pPr>
        <w:pStyle w:val="Paragraphedeliste"/>
        <w:numPr>
          <w:ilvl w:val="0"/>
          <w:numId w:val="1"/>
        </w:numPr>
        <w:spacing w:after="0" w:line="276" w:lineRule="auto"/>
        <w:jc w:val="both"/>
        <w:rPr>
          <w:rFonts w:ascii="Verdana" w:eastAsia="Verdana" w:hAnsi="Verdana" w:cs="Verdana"/>
          <w:sz w:val="20"/>
        </w:rPr>
      </w:pPr>
      <w:r w:rsidRPr="005D3C12">
        <w:rPr>
          <w:rFonts w:ascii="Verdana" w:eastAsia="Verdana" w:hAnsi="Verdana" w:cs="Verdana"/>
          <w:sz w:val="20"/>
        </w:rPr>
        <w:t xml:space="preserve">Le propriétaire d’une part, c’est-à-dire Sambre et </w:t>
      </w:r>
      <w:proofErr w:type="spellStart"/>
      <w:r w:rsidRPr="005D3C12">
        <w:rPr>
          <w:rFonts w:ascii="Verdana" w:eastAsia="Verdana" w:hAnsi="Verdana" w:cs="Verdana"/>
          <w:sz w:val="20"/>
        </w:rPr>
        <w:t>Biesme</w:t>
      </w:r>
      <w:proofErr w:type="spellEnd"/>
      <w:r w:rsidRPr="005D3C12">
        <w:rPr>
          <w:rFonts w:ascii="Verdana" w:eastAsia="Verdana" w:hAnsi="Verdana" w:cs="Verdana"/>
          <w:sz w:val="20"/>
        </w:rPr>
        <w:t xml:space="preserve">, et les locataires d’autre part. Pour plus d’informations vous pouvez vous référer à la brochure de la SWL concernant l’entretien de son logement : </w:t>
      </w:r>
      <w:hyperlink r:id="rId12" w:history="1">
        <w:r w:rsidRPr="005D3C12">
          <w:rPr>
            <w:rStyle w:val="Lienhypertexte"/>
            <w:rFonts w:ascii="Verdana" w:eastAsia="Verdana" w:hAnsi="Verdana" w:cs="Verdana"/>
            <w:sz w:val="20"/>
          </w:rPr>
          <w:t>https://www.swl.be/images/2021/entretienlogement-juin2021-web.pdf</w:t>
        </w:r>
      </w:hyperlink>
    </w:p>
    <w:p w14:paraId="6BD9C24D" w14:textId="77777777" w:rsidR="00BC604A" w:rsidRPr="00F5265D" w:rsidRDefault="00BC604A" w:rsidP="00BC604A">
      <w:pPr>
        <w:pStyle w:val="Paragraphedeliste"/>
        <w:numPr>
          <w:ilvl w:val="0"/>
          <w:numId w:val="1"/>
        </w:numPr>
        <w:spacing w:after="0" w:line="276" w:lineRule="auto"/>
        <w:jc w:val="both"/>
        <w:rPr>
          <w:rFonts w:ascii="Verdana" w:eastAsia="Verdana" w:hAnsi="Verdana" w:cs="Verdana"/>
          <w:sz w:val="20"/>
        </w:rPr>
      </w:pPr>
      <w:r>
        <w:rPr>
          <w:rFonts w:ascii="Verdana" w:eastAsia="Verdana" w:hAnsi="Verdana" w:cs="Verdana"/>
          <w:sz w:val="20"/>
        </w:rPr>
        <w:t>Ent</w:t>
      </w:r>
      <w:r w:rsidRPr="00F5265D">
        <w:rPr>
          <w:rFonts w:ascii="Verdana" w:eastAsia="Verdana" w:hAnsi="Verdana" w:cs="Verdana"/>
          <w:sz w:val="20"/>
        </w:rPr>
        <w:t xml:space="preserve">re les </w:t>
      </w:r>
      <w:r>
        <w:rPr>
          <w:rFonts w:ascii="Verdana" w:eastAsia="Verdana" w:hAnsi="Verdana" w:cs="Verdana"/>
          <w:sz w:val="20"/>
        </w:rPr>
        <w:t xml:space="preserve">différents </w:t>
      </w:r>
      <w:r w:rsidRPr="00F5265D">
        <w:rPr>
          <w:rFonts w:ascii="Verdana" w:eastAsia="Verdana" w:hAnsi="Verdana" w:cs="Verdana"/>
          <w:sz w:val="20"/>
        </w:rPr>
        <w:t xml:space="preserve">locataires </w:t>
      </w:r>
      <w:r>
        <w:rPr>
          <w:rFonts w:ascii="Verdana" w:eastAsia="Verdana" w:hAnsi="Verdana" w:cs="Verdana"/>
          <w:sz w:val="20"/>
        </w:rPr>
        <w:t>concernés par la prestation, par exemple une facture pour l’entretien d’un ascenseur est répartie entre les différents locataires de l’immeuble.</w:t>
      </w:r>
    </w:p>
    <w:p w14:paraId="1C0006E0" w14:textId="77777777" w:rsidR="00BC604A" w:rsidRDefault="00BC604A" w:rsidP="00BC604A">
      <w:pPr>
        <w:spacing w:after="0" w:line="276" w:lineRule="auto"/>
        <w:jc w:val="both"/>
        <w:rPr>
          <w:rFonts w:ascii="Verdana" w:eastAsia="Verdana" w:hAnsi="Verdana" w:cs="Verdana"/>
          <w:sz w:val="20"/>
        </w:rPr>
      </w:pPr>
    </w:p>
    <w:p w14:paraId="48147F70" w14:textId="77777777" w:rsidR="00BC604A" w:rsidRDefault="00BC604A" w:rsidP="00BC604A">
      <w:pPr>
        <w:spacing w:after="0" w:line="276" w:lineRule="auto"/>
        <w:jc w:val="both"/>
        <w:rPr>
          <w:rFonts w:ascii="Verdana" w:eastAsia="Verdana" w:hAnsi="Verdana" w:cs="Verdana"/>
          <w:sz w:val="20"/>
        </w:rPr>
      </w:pPr>
      <w:r>
        <w:rPr>
          <w:rFonts w:ascii="Verdana" w:eastAsia="Verdana" w:hAnsi="Verdana" w:cs="Verdana"/>
          <w:sz w:val="20"/>
        </w:rPr>
        <w:t xml:space="preserve">3/ les </w:t>
      </w:r>
      <w:r w:rsidRPr="00ED0C40">
        <w:rPr>
          <w:rFonts w:ascii="Verdana" w:eastAsia="Verdana" w:hAnsi="Verdana" w:cs="Verdana"/>
          <w:b/>
          <w:sz w:val="20"/>
        </w:rPr>
        <w:t>provisions</w:t>
      </w:r>
      <w:r>
        <w:rPr>
          <w:rFonts w:ascii="Verdana" w:eastAsia="Verdana" w:hAnsi="Verdana" w:cs="Verdana"/>
          <w:sz w:val="20"/>
        </w:rPr>
        <w:t xml:space="preserve"> pour charges que vous payez dans le loyer sont adaptées. C’est le même principe que pour l’eau et l’électricité. Si la facture dépasse les provisions payées durant l’année écoulée, vous devez payer un supplément. Si la facture est inférieure aux provisions payées, Sambre et </w:t>
      </w:r>
      <w:proofErr w:type="spellStart"/>
      <w:r>
        <w:rPr>
          <w:rFonts w:ascii="Verdana" w:eastAsia="Verdana" w:hAnsi="Verdana" w:cs="Verdana"/>
          <w:sz w:val="20"/>
        </w:rPr>
        <w:t>Biesme</w:t>
      </w:r>
      <w:proofErr w:type="spellEnd"/>
      <w:r>
        <w:rPr>
          <w:rFonts w:ascii="Verdana" w:eastAsia="Verdana" w:hAnsi="Verdana" w:cs="Verdana"/>
          <w:sz w:val="20"/>
        </w:rPr>
        <w:t xml:space="preserve"> devra vous rembourser.</w:t>
      </w:r>
    </w:p>
    <w:sectPr w:rsidR="00BC604A" w:rsidSect="00BC604A">
      <w:pgSz w:w="16838" w:h="11906" w:orient="landscape"/>
      <w:pgMar w:top="567" w:right="70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D07"/>
    <w:multiLevelType w:val="hybridMultilevel"/>
    <w:tmpl w:val="5D9CAE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DE07CA2"/>
    <w:multiLevelType w:val="hybridMultilevel"/>
    <w:tmpl w:val="65529A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6677963"/>
    <w:multiLevelType w:val="hybridMultilevel"/>
    <w:tmpl w:val="28ACC6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A5E71F5"/>
    <w:multiLevelType w:val="hybridMultilevel"/>
    <w:tmpl w:val="1EA88E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BBB4F09"/>
    <w:multiLevelType w:val="hybridMultilevel"/>
    <w:tmpl w:val="C83EA5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C012AFF"/>
    <w:multiLevelType w:val="hybridMultilevel"/>
    <w:tmpl w:val="85465AFC"/>
    <w:lvl w:ilvl="0" w:tplc="F8881464">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41D5F31"/>
    <w:multiLevelType w:val="hybridMultilevel"/>
    <w:tmpl w:val="2BCEF3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FF83253"/>
    <w:multiLevelType w:val="hybridMultilevel"/>
    <w:tmpl w:val="CEEA8C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4A"/>
    <w:rsid w:val="00176323"/>
    <w:rsid w:val="00414420"/>
    <w:rsid w:val="004D34A7"/>
    <w:rsid w:val="00596DF9"/>
    <w:rsid w:val="008411F3"/>
    <w:rsid w:val="00A11F30"/>
    <w:rsid w:val="00B51758"/>
    <w:rsid w:val="00BC604A"/>
    <w:rsid w:val="00CF6C40"/>
    <w:rsid w:val="00F6190D"/>
    <w:rsid w:val="00FD7C2D"/>
    <w:rsid w:val="00FF0E66"/>
    <w:rsid w:val="00FF59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3492"/>
  <w15:chartTrackingRefBased/>
  <w15:docId w15:val="{49280E1E-A655-4120-9AB1-85B254DF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04A"/>
    <w:rPr>
      <w:rFonts w:eastAsiaTheme="minorEastAsia"/>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1"/>
    <w:qFormat/>
    <w:rsid w:val="00BC604A"/>
    <w:pPr>
      <w:ind w:left="720"/>
      <w:contextualSpacing/>
    </w:pPr>
  </w:style>
  <w:style w:type="character" w:styleId="Lienhypertexte">
    <w:name w:val="Hyperlink"/>
    <w:basedOn w:val="Policepardfaut"/>
    <w:uiPriority w:val="99"/>
    <w:unhideWhenUsed/>
    <w:rsid w:val="00BC604A"/>
    <w:rPr>
      <w:color w:val="0563C1" w:themeColor="hyperlink"/>
      <w:u w:val="single"/>
    </w:rPr>
  </w:style>
  <w:style w:type="paragraph" w:styleId="Sansinterligne">
    <w:name w:val="No Spacing"/>
    <w:uiPriority w:val="1"/>
    <w:qFormat/>
    <w:rsid w:val="00BC604A"/>
    <w:pPr>
      <w:spacing w:after="0"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BC6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1"/>
    <w:locked/>
    <w:rsid w:val="00BC604A"/>
    <w:rPr>
      <w:rFonts w:eastAsiaTheme="minorEastAsia"/>
      <w:lang w:eastAsia="fr-BE"/>
    </w:rPr>
  </w:style>
  <w:style w:type="paragraph" w:styleId="Textedebulles">
    <w:name w:val="Balloon Text"/>
    <w:basedOn w:val="Normal"/>
    <w:link w:val="TextedebullesCar"/>
    <w:uiPriority w:val="99"/>
    <w:semiHidden/>
    <w:unhideWhenUsed/>
    <w:rsid w:val="001763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6323"/>
    <w:rPr>
      <w:rFonts w:ascii="Segoe UI" w:eastAsiaTheme="minorEastAsia" w:hAnsi="Segoe UI" w:cs="Segoe UI"/>
      <w:sz w:val="18"/>
      <w:szCs w:val="1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swl.be/images/2021/entretienlogement-juin2021-we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3117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Lorent</dc:creator>
  <cp:keywords/>
  <dc:description/>
  <cp:lastModifiedBy>Stéphanie Lorent</cp:lastModifiedBy>
  <cp:revision>2</cp:revision>
  <cp:lastPrinted>2022-11-25T07:21:00Z</cp:lastPrinted>
  <dcterms:created xsi:type="dcterms:W3CDTF">2022-11-25T07:28:00Z</dcterms:created>
  <dcterms:modified xsi:type="dcterms:W3CDTF">2022-11-25T07:28:00Z</dcterms:modified>
</cp:coreProperties>
</file>